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59" w:rsidRDefault="00B17259" w:rsidP="00B17259">
      <w:pPr>
        <w:spacing w:after="0" w:line="240" w:lineRule="auto"/>
        <w:jc w:val="center"/>
        <w:rPr>
          <w:b/>
        </w:rPr>
      </w:pPr>
      <w:r>
        <w:rPr>
          <w:b/>
        </w:rPr>
        <w:t>NOTAS EXPLICATIVAS ÀS DEMONSTRAÇÕES CONTÁBEIS</w:t>
      </w:r>
    </w:p>
    <w:p w:rsidR="00397019" w:rsidRPr="00AB2130" w:rsidRDefault="00397019" w:rsidP="00397019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>NOTA 1 – CONTEXTO OPERACIONAL</w:t>
      </w:r>
    </w:p>
    <w:p w:rsidR="007132D9" w:rsidRDefault="00CF3307" w:rsidP="00CF3307">
      <w:pPr>
        <w:spacing w:before="100" w:beforeAutospacing="1" w:after="100" w:afterAutospacing="1" w:line="240" w:lineRule="auto"/>
        <w:ind w:firstLine="709"/>
        <w:jc w:val="both"/>
      </w:pPr>
      <w:r>
        <w:t xml:space="preserve">A Prefeitura Municipal de </w:t>
      </w:r>
      <w:r w:rsidR="00A43B0C">
        <w:t>Farroupilha</w:t>
      </w:r>
      <w:r>
        <w:t>, órgão do Poder Executivo do</w:t>
      </w:r>
      <w:r w:rsidR="00A43B0C">
        <w:t xml:space="preserve"> Município de Farroupilha</w:t>
      </w:r>
      <w:r w:rsidR="001A5CE9">
        <w:t xml:space="preserve">, situado no Estado do Rio Grande do Sul </w:t>
      </w:r>
      <w:r>
        <w:t xml:space="preserve">não se constitui </w:t>
      </w:r>
      <w:r w:rsidR="009536B9">
        <w:t>em Personalid</w:t>
      </w:r>
      <w:r>
        <w:t xml:space="preserve">ade Jurídica de Direito Público, mas tão somente em entidade contábil compreendendo </w:t>
      </w:r>
      <w:r w:rsidR="007132D9">
        <w:t>os órgãos sem personalidade jurídica do Poder Executivo, composto pelo Gabi</w:t>
      </w:r>
      <w:r w:rsidR="00B647AA">
        <w:t>nete do Prefeito,</w:t>
      </w:r>
      <w:r w:rsidR="00A43B0C">
        <w:t xml:space="preserve"> doze</w:t>
      </w:r>
      <w:r w:rsidR="007132D9">
        <w:t xml:space="preserve"> secretarias municipais</w:t>
      </w:r>
      <w:r w:rsidR="00B647AA">
        <w:t xml:space="preserve">, </w:t>
      </w:r>
      <w:r w:rsidR="000D1D9A">
        <w:t>dezessete</w:t>
      </w:r>
      <w:r w:rsidR="00B647AA">
        <w:t xml:space="preserve"> fundos especiais e um órgão de Administração Indireta.</w:t>
      </w:r>
    </w:p>
    <w:p w:rsidR="007132D9" w:rsidRDefault="007132D9" w:rsidP="007132D9">
      <w:pPr>
        <w:spacing w:before="100" w:beforeAutospacing="1" w:after="100" w:afterAutospacing="1" w:line="240" w:lineRule="auto"/>
        <w:ind w:firstLine="709"/>
        <w:jc w:val="both"/>
      </w:pPr>
      <w:r>
        <w:t>As secretarias municipais são:</w:t>
      </w:r>
    </w:p>
    <w:p w:rsidR="007132D9" w:rsidRDefault="00A43B0C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Desenvolvimento Humano</w:t>
      </w:r>
      <w:r w:rsidR="007132D9">
        <w:t>;</w:t>
      </w:r>
    </w:p>
    <w:p w:rsidR="007132D9" w:rsidRDefault="00A43B0C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Secretaria </w:t>
      </w:r>
      <w:r w:rsidR="00B647AA">
        <w:t>Municipal de</w:t>
      </w:r>
      <w:r>
        <w:t xml:space="preserve"> Finanças</w:t>
      </w:r>
      <w:r w:rsidR="007132D9">
        <w:t>;</w:t>
      </w:r>
    </w:p>
    <w:p w:rsidR="00A43B0C" w:rsidRDefault="00A43B0C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Secretaria </w:t>
      </w:r>
      <w:r w:rsidR="00B647AA">
        <w:t xml:space="preserve">Municipal </w:t>
      </w:r>
      <w:r>
        <w:t>de Desenvolvimento Urbano</w:t>
      </w:r>
      <w:r w:rsidR="00B647AA">
        <w:t>, Infraestrutura e Trânsito</w:t>
      </w:r>
      <w:r>
        <w:t>;</w:t>
      </w:r>
    </w:p>
    <w:p w:rsidR="007132D9" w:rsidRDefault="007132D9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Educa</w:t>
      </w:r>
      <w:r w:rsidR="00A43B0C">
        <w:t>ção</w:t>
      </w:r>
      <w:r>
        <w:t>;</w:t>
      </w:r>
    </w:p>
    <w:p w:rsidR="007132D9" w:rsidRDefault="007132D9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</w:t>
      </w:r>
      <w:r w:rsidR="00A43B0C">
        <w:t>aria Municipal</w:t>
      </w:r>
      <w:r w:rsidR="00B647AA">
        <w:t xml:space="preserve"> de Turismo e Cultura</w:t>
      </w:r>
      <w:r>
        <w:t>;</w:t>
      </w:r>
    </w:p>
    <w:p w:rsidR="007132D9" w:rsidRDefault="007132D9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Secretaria </w:t>
      </w:r>
      <w:r w:rsidR="00B647AA">
        <w:t>Municipal de Desenvolvimento Social e Habitação</w:t>
      </w:r>
      <w:r>
        <w:t>;</w:t>
      </w:r>
    </w:p>
    <w:p w:rsidR="00B647AA" w:rsidRDefault="00B647AA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Desenvolvimento Rural;</w:t>
      </w:r>
    </w:p>
    <w:p w:rsidR="007132D9" w:rsidRDefault="007132D9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Saúde;</w:t>
      </w:r>
    </w:p>
    <w:p w:rsidR="00B647AA" w:rsidRDefault="00B647AA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Desenvolvimento Econômico, Trabalho e Renda;</w:t>
      </w:r>
    </w:p>
    <w:p w:rsidR="00B647AA" w:rsidRDefault="00B647AA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Meio Ambiente;</w:t>
      </w:r>
    </w:p>
    <w:p w:rsidR="00B647AA" w:rsidRDefault="00B647AA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Planejamento;</w:t>
      </w:r>
    </w:p>
    <w:p w:rsidR="00B647AA" w:rsidRDefault="00B647AA" w:rsidP="007132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Secretaria Municipal de Esporte, Lazer e Juventude.</w:t>
      </w:r>
    </w:p>
    <w:p w:rsidR="007132D9" w:rsidRDefault="007132D9" w:rsidP="007132D9">
      <w:pPr>
        <w:spacing w:before="100" w:beforeAutospacing="1" w:after="100" w:afterAutospacing="1" w:line="240" w:lineRule="auto"/>
        <w:ind w:firstLine="709"/>
        <w:jc w:val="both"/>
      </w:pPr>
      <w:r>
        <w:t>Os Fundos Especiais são:</w:t>
      </w:r>
    </w:p>
    <w:p w:rsidR="007132D9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Saúde - FMS</w:t>
      </w:r>
      <w:r w:rsidR="007132D9">
        <w:t>;</w:t>
      </w:r>
    </w:p>
    <w:p w:rsidR="007132D9" w:rsidRDefault="007132D9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dos Direitos da Criança e do Adolescente</w:t>
      </w:r>
      <w:r w:rsidR="000A2712">
        <w:t xml:space="preserve"> de Farroupilha - COMDICA</w:t>
      </w:r>
      <w:r>
        <w:t>;</w:t>
      </w:r>
    </w:p>
    <w:p w:rsidR="007132D9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do Meio Ambiente - FMMA</w:t>
      </w:r>
      <w:r w:rsidR="007132D9">
        <w:t>;</w:t>
      </w:r>
    </w:p>
    <w:p w:rsidR="007132D9" w:rsidRDefault="007132D9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Assistência Social</w:t>
      </w:r>
      <w:r w:rsidR="000A2712">
        <w:t xml:space="preserve"> - FMAS</w:t>
      </w:r>
      <w:r>
        <w:t>;</w:t>
      </w:r>
    </w:p>
    <w:p w:rsidR="007132D9" w:rsidRDefault="007132D9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</w:t>
      </w:r>
      <w:r w:rsidR="000A2712">
        <w:t xml:space="preserve"> Proteção de</w:t>
      </w:r>
      <w:r>
        <w:t xml:space="preserve"> Defesa Civil</w:t>
      </w:r>
      <w:r w:rsidR="000A2712">
        <w:t xml:space="preserve"> - FMPDC</w:t>
      </w:r>
      <w:r>
        <w:t>;</w:t>
      </w:r>
    </w:p>
    <w:p w:rsidR="007132D9" w:rsidRDefault="007132D9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Habitação de Interesse Social</w:t>
      </w:r>
      <w:r w:rsidR="000A2712">
        <w:t xml:space="preserve"> - FHIS</w:t>
      </w:r>
      <w:r>
        <w:t>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do Idoso de Farroupilha – FMI;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Entorpecente – FME;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de Previdência Social do Município de Farroupilha – FPS;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Reequipamento do Corpo de Bombeiros – FUNREBOM;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Defesa do Consumidor;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Rotativo Novo Amanhã – FURNAM;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da Cultura – FMC;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Esporte e Lazer – FUNDEL;</w:t>
      </w:r>
    </w:p>
    <w:p w:rsidR="000A2712" w:rsidRDefault="000A2712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de Desenvolvimento do Turismo – FUNDETUR;</w:t>
      </w:r>
    </w:p>
    <w:p w:rsidR="000A2712" w:rsidRDefault="000D1D9A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dos Direitos da Pessoa com Deficiência – FMPD;</w:t>
      </w:r>
    </w:p>
    <w:p w:rsidR="000D1D9A" w:rsidRDefault="000D1D9A" w:rsidP="007132D9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Fundo Municipal de Desenvolvimento Territorial Integrado – FMDTI.</w:t>
      </w:r>
    </w:p>
    <w:p w:rsidR="007132D9" w:rsidRDefault="000D1D9A" w:rsidP="007132D9">
      <w:pPr>
        <w:spacing w:before="100" w:beforeAutospacing="1" w:after="100" w:afterAutospacing="1" w:line="240" w:lineRule="auto"/>
        <w:ind w:firstLine="709"/>
        <w:jc w:val="both"/>
      </w:pPr>
      <w:r>
        <w:t>A Administração Indireta</w:t>
      </w:r>
      <w:r w:rsidR="007132D9">
        <w:t>:</w:t>
      </w:r>
    </w:p>
    <w:p w:rsidR="007132D9" w:rsidRDefault="000D1D9A" w:rsidP="007132D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O Órgão de Administração Indireta </w:t>
      </w:r>
      <w:r w:rsidR="004A5BF4">
        <w:t>foi autorizado</w:t>
      </w:r>
      <w:r>
        <w:t xml:space="preserve"> pela Lei Municipal 4171 de 18 de </w:t>
      </w:r>
      <w:r w:rsidR="004A5BF4">
        <w:t>novembro</w:t>
      </w:r>
      <w:r>
        <w:t xml:space="preserve"> de 2015 e formalizada (criada) pelo Decreto 5966 de 15 de </w:t>
      </w:r>
      <w:r w:rsidR="004A5BF4">
        <w:t>dezembro</w:t>
      </w:r>
      <w:r>
        <w:t xml:space="preserve"> de 2015 com denominação de ECOFAR S.A – Empresa Farroupilhense de Saneame</w:t>
      </w:r>
      <w:r w:rsidR="004A5BF4">
        <w:t>nto e Desenvolvimento Ambiental;</w:t>
      </w:r>
    </w:p>
    <w:p w:rsidR="004A5BF4" w:rsidRDefault="004A5BF4" w:rsidP="007132D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lastRenderedPageBreak/>
        <w:t>Órgão é classificado de Sociedade de Economia Mista onde a participação do Município é de 99,75% e 0,25% de participação da Associação dos Recicladores de Farroupilha – ARFA;</w:t>
      </w:r>
    </w:p>
    <w:p w:rsidR="004A5BF4" w:rsidRDefault="004A5BF4" w:rsidP="007132D9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O principal objetivo da criação do Órgão de Administração Indireta é de limpeza urbana com coleta de resíduos não perigosos, controle da vegetação e pintura de meio fios.</w:t>
      </w:r>
    </w:p>
    <w:p w:rsidR="00397019" w:rsidRPr="00AB2130" w:rsidRDefault="00397019" w:rsidP="00397019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 xml:space="preserve">NOTA 2 – </w:t>
      </w:r>
      <w:r w:rsidR="00927442" w:rsidRPr="00AB2130">
        <w:rPr>
          <w:b/>
        </w:rPr>
        <w:t>APRESENTAÇÃO DAS DEMONSTRAÇÕES CONTÁBEIS</w:t>
      </w:r>
    </w:p>
    <w:p w:rsidR="00397019" w:rsidRDefault="00397019" w:rsidP="00397019">
      <w:pPr>
        <w:spacing w:before="100" w:beforeAutospacing="1" w:after="100" w:afterAutospacing="1" w:line="240" w:lineRule="auto"/>
        <w:ind w:firstLine="709"/>
        <w:jc w:val="both"/>
      </w:pPr>
      <w:r>
        <w:t xml:space="preserve">As Demonstrações Contábeis foram elaboradas em observância com os dispositivos legais que regulam o assunto, em especial a Lei Federal nº 4.320/64, Lei Complementar nº 101/2000, os Princípios de Contabilidade, as Normas Brasileiras de Contabilidade Aplicadas ao Setor Público, o Manual de Contabilidade Aplicada ao Setor Público </w:t>
      </w:r>
      <w:r w:rsidR="0044040F">
        <w:t>5</w:t>
      </w:r>
      <w:r w:rsidR="00612D15">
        <w:t>ª edição</w:t>
      </w:r>
      <w:r w:rsidR="00927442">
        <w:t xml:space="preserve">, as Instruções de Procedimentos </w:t>
      </w:r>
      <w:r w:rsidR="00573DBE">
        <w:t>Contábeis e</w:t>
      </w:r>
      <w:r>
        <w:t xml:space="preserve"> demais disposições normativas vigentes.</w:t>
      </w:r>
    </w:p>
    <w:p w:rsidR="002507F9" w:rsidRDefault="002507F9" w:rsidP="00397019">
      <w:pPr>
        <w:spacing w:before="100" w:beforeAutospacing="1" w:after="100" w:afterAutospacing="1" w:line="240" w:lineRule="auto"/>
        <w:ind w:firstLine="709"/>
        <w:jc w:val="both"/>
      </w:pPr>
      <w:r>
        <w:t>Cabe destacar que as demonstrações contábeis foram elaboradas seguindo o Plano de Contas Aplicado ao Set</w:t>
      </w:r>
      <w:r w:rsidR="00896CCE">
        <w:t>or Público adotado em 01/01/2014</w:t>
      </w:r>
      <w:r>
        <w:t>, integrante do o Manual de Contabili</w:t>
      </w:r>
      <w:r w:rsidR="00896CCE">
        <w:t>dade Aplicada ao Setor Público 5</w:t>
      </w:r>
      <w:r>
        <w:t>ª edição</w:t>
      </w:r>
      <w:r w:rsidR="00927442">
        <w:t>, estendido pelo Plano de Contas do Tribunal de Contas do Estado do Rio Grande do Sul</w:t>
      </w:r>
      <w:r>
        <w:t>.</w:t>
      </w:r>
    </w:p>
    <w:p w:rsidR="00897C98" w:rsidRDefault="00896CCE" w:rsidP="00397019">
      <w:pPr>
        <w:spacing w:before="100" w:beforeAutospacing="1" w:after="100" w:afterAutospacing="1" w:line="240" w:lineRule="auto"/>
        <w:ind w:firstLine="709"/>
        <w:jc w:val="both"/>
      </w:pPr>
      <w:r>
        <w:t>O</w:t>
      </w:r>
      <w:r w:rsidR="00897C98">
        <w:t>s registros contábeis referen</w:t>
      </w:r>
      <w:r>
        <w:t>tes ao Poder Legislativo são</w:t>
      </w:r>
      <w:r w:rsidR="00897C98">
        <w:t xml:space="preserve"> segregados em uma unidade contábil distinta</w:t>
      </w:r>
      <w:r>
        <w:t xml:space="preserve">, possibilitando maior transparência dos gastos. Assim como o Fundo de Previdência é considerado uma unidade contábil distinta. </w:t>
      </w:r>
    </w:p>
    <w:p w:rsidR="00397019" w:rsidRPr="00AB2130" w:rsidRDefault="00397019" w:rsidP="00397019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 xml:space="preserve">NOTA 3 – </w:t>
      </w:r>
      <w:r w:rsidR="00927442" w:rsidRPr="00AB2130">
        <w:rPr>
          <w:b/>
        </w:rPr>
        <w:t>CRITÉRIOS NA ELABORAÇÃO DAS DEMONSTRAÇÕES CONTÁBEIS E INFORMAÇÕES COMPLEMENTARES</w:t>
      </w:r>
    </w:p>
    <w:p w:rsidR="00927442" w:rsidRDefault="00927442" w:rsidP="00397019">
      <w:pPr>
        <w:rPr>
          <w:b/>
        </w:rPr>
      </w:pPr>
      <w:r>
        <w:rPr>
          <w:b/>
        </w:rPr>
        <w:t>Aspectos Gerais das Demonstrações Contábeis</w:t>
      </w:r>
    </w:p>
    <w:p w:rsidR="00927442" w:rsidRPr="00927442" w:rsidRDefault="00927442" w:rsidP="00927442">
      <w:pPr>
        <w:spacing w:before="100" w:beforeAutospacing="1" w:after="100" w:afterAutospacing="1" w:line="240" w:lineRule="auto"/>
        <w:ind w:firstLine="709"/>
        <w:jc w:val="both"/>
      </w:pPr>
      <w:r w:rsidRPr="00927442">
        <w:t>As estruturas das demonstrações contábeis contidas nos anexos da Lei nº</w:t>
      </w:r>
      <w:r>
        <w:t xml:space="preserve"> </w:t>
      </w:r>
      <w:r w:rsidRPr="00927442">
        <w:t>4.320/1964 foram alteradas pela Portaria STN nº 438/2012, em consonância</w:t>
      </w:r>
      <w:r>
        <w:t xml:space="preserve"> </w:t>
      </w:r>
      <w:r w:rsidRPr="00927442">
        <w:t>com os novos padrões da Contabilidade Aplicada ao Setor Público (CASP).</w:t>
      </w:r>
    </w:p>
    <w:p w:rsidR="00927442" w:rsidRPr="00927442" w:rsidRDefault="00927442" w:rsidP="00927442">
      <w:pPr>
        <w:spacing w:before="100" w:beforeAutospacing="1" w:after="100" w:afterAutospacing="1" w:line="240" w:lineRule="auto"/>
        <w:ind w:firstLine="709"/>
        <w:jc w:val="both"/>
      </w:pPr>
      <w:r w:rsidRPr="00927442">
        <w:t xml:space="preserve">A elaboração das demonstrações contábeis das </w:t>
      </w:r>
      <w:proofErr w:type="spellStart"/>
      <w:r w:rsidRPr="00927442">
        <w:t>IPCs</w:t>
      </w:r>
      <w:proofErr w:type="spellEnd"/>
      <w:r w:rsidRPr="00927442">
        <w:t xml:space="preserve"> tem por base as contas</w:t>
      </w:r>
      <w:r>
        <w:t xml:space="preserve"> </w:t>
      </w:r>
      <w:r w:rsidRPr="00927442">
        <w:t>contábeis do modelo de Plano de Contas Aplicado ao Setor Público (PCASP)</w:t>
      </w:r>
      <w:r>
        <w:t xml:space="preserve"> </w:t>
      </w:r>
      <w:r w:rsidRPr="00927442">
        <w:t>aplicável à União, aos estados, ao Di</w:t>
      </w:r>
      <w:r>
        <w:t>strito Federal e aos municípios, estendido pelo Plano de Contas Contábil do TCE/RS.</w:t>
      </w:r>
    </w:p>
    <w:p w:rsidR="00397019" w:rsidRPr="006D13C7" w:rsidRDefault="00397019" w:rsidP="00397019">
      <w:pPr>
        <w:rPr>
          <w:b/>
        </w:rPr>
      </w:pPr>
      <w:r w:rsidRPr="006D13C7">
        <w:rPr>
          <w:b/>
        </w:rPr>
        <w:t>Receitas e Despesas</w:t>
      </w:r>
    </w:p>
    <w:p w:rsidR="00927442" w:rsidRDefault="009053A5" w:rsidP="009053A5">
      <w:pPr>
        <w:spacing w:before="100" w:beforeAutospacing="1" w:after="100" w:afterAutospacing="1" w:line="240" w:lineRule="auto"/>
        <w:ind w:firstLine="709"/>
        <w:jc w:val="both"/>
      </w:pPr>
      <w:r>
        <w:t xml:space="preserve">As receitas e despesas orçamentárias foram codificadas de acordo com a Portaria Interministerial STN/MF e SOF/MPOG nº 163, de 04/05/2001 e suas respectivas alterações, sendo seus desdobramentos registrados em conformidade com os desdobramentos previstos no </w:t>
      </w:r>
      <w:r w:rsidR="00927442">
        <w:t xml:space="preserve">Plano </w:t>
      </w:r>
      <w:r>
        <w:t>de Contas, expedido pelo Tribunal de Contas do Estado do Rio Grande do Sul.</w:t>
      </w:r>
    </w:p>
    <w:p w:rsidR="009053A5" w:rsidRDefault="009053A5" w:rsidP="009053A5">
      <w:pPr>
        <w:spacing w:before="100" w:beforeAutospacing="1" w:after="100" w:afterAutospacing="1" w:line="240" w:lineRule="auto"/>
        <w:ind w:firstLine="709"/>
        <w:jc w:val="both"/>
      </w:pPr>
      <w:r>
        <w:t xml:space="preserve">O registro, no aspecto orçamentário, e obedecendo ao disposto no art. 35 da Lei Federal nº 4.320/64, considerou como realizadas as despesas legalmente empenhadas e as receitas efetivamente arrecadadas no exercício. Sob o enfoque patrimonial, considerou-se o regime de competência para as receitas e as despesas, sendo registradas mediante a ocorrência de seus respectivos fatos geradores. As alterações da situação líquida patrimonial foram registradas à conta de variações patrimoniais aumentativas e </w:t>
      </w:r>
      <w:r w:rsidR="009779AD">
        <w:t>diminutivas</w:t>
      </w:r>
      <w:r>
        <w:t>.</w:t>
      </w:r>
    </w:p>
    <w:p w:rsidR="009779AD" w:rsidRPr="00A9325D" w:rsidRDefault="009779AD" w:rsidP="009779AD">
      <w:pPr>
        <w:tabs>
          <w:tab w:val="left" w:pos="2212"/>
        </w:tabs>
        <w:rPr>
          <w:b/>
        </w:rPr>
      </w:pPr>
      <w:r w:rsidRPr="00A9325D">
        <w:rPr>
          <w:b/>
        </w:rPr>
        <w:lastRenderedPageBreak/>
        <w:t>Dívida Ativa - Curto e Longo Prazos</w:t>
      </w:r>
    </w:p>
    <w:p w:rsidR="009779AD" w:rsidRDefault="009779AD" w:rsidP="009779AD">
      <w:pPr>
        <w:spacing w:before="100" w:beforeAutospacing="1" w:after="100" w:afterAutospacing="1" w:line="240" w:lineRule="auto"/>
        <w:ind w:firstLine="709"/>
        <w:jc w:val="both"/>
      </w:pPr>
      <w:r>
        <w:t>A segregação da dívida ativa em curto e longo prazos foi realizada mediante a metodologia sugerida pelo Manual de Contabilidade Aplicada ao Setor Público, expedido pela Secretaria do Tesouro Nacional, que prevê que o montante a ser registrado em curto prazo seja estimado pelo dobro da média anual de recebimentos efetivos dos últimos três exercícios. O longo prazo abriga o restante do estoque de créditos inscritos em dívida ativa.</w:t>
      </w:r>
    </w:p>
    <w:p w:rsidR="009779AD" w:rsidRPr="00A9325D" w:rsidRDefault="009779AD" w:rsidP="009779AD">
      <w:pPr>
        <w:tabs>
          <w:tab w:val="left" w:pos="2212"/>
        </w:tabs>
        <w:rPr>
          <w:b/>
        </w:rPr>
      </w:pPr>
      <w:r w:rsidRPr="00A9325D">
        <w:rPr>
          <w:b/>
        </w:rPr>
        <w:t>Dívida Ativa - Ajuste a Valor Recuperável</w:t>
      </w:r>
    </w:p>
    <w:p w:rsidR="009779AD" w:rsidRDefault="009779AD" w:rsidP="009779AD">
      <w:pPr>
        <w:spacing w:before="100" w:beforeAutospacing="1" w:after="100" w:afterAutospacing="1" w:line="240" w:lineRule="auto"/>
        <w:ind w:firstLine="709"/>
        <w:jc w:val="both"/>
      </w:pPr>
      <w:r>
        <w:t>Em decorrência do elevado grau de incerteza no recebimento dos valores inscritos em dívida ativa, utilizou-se no ajuste a valor recuperável a técnica sugerida pelo Manual de Contabilidade Aplicada ao Setor Público, baseada no histórico de recebimentos passados.</w:t>
      </w:r>
    </w:p>
    <w:p w:rsidR="00C26C4B" w:rsidRPr="00A9325D" w:rsidRDefault="00C26C4B" w:rsidP="00C26C4B">
      <w:pPr>
        <w:tabs>
          <w:tab w:val="left" w:pos="2212"/>
        </w:tabs>
        <w:rPr>
          <w:b/>
        </w:rPr>
      </w:pPr>
      <w:r>
        <w:rPr>
          <w:b/>
        </w:rPr>
        <w:t>Ativo Imobilizado</w:t>
      </w:r>
    </w:p>
    <w:p w:rsidR="00C26C4B" w:rsidRDefault="00A931A3" w:rsidP="00C26C4B">
      <w:pPr>
        <w:spacing w:before="100" w:beforeAutospacing="1" w:after="100" w:afterAutospacing="1" w:line="240" w:lineRule="auto"/>
        <w:ind w:firstLine="709"/>
        <w:jc w:val="both"/>
      </w:pPr>
      <w:r>
        <w:t>O</w:t>
      </w:r>
      <w:r w:rsidR="00C26C4B">
        <w:t xml:space="preserve"> Ativo Imobilizado é avaliado inicialmente</w:t>
      </w:r>
      <w:r w:rsidR="00CD68A6">
        <w:t xml:space="preserve"> segundo seu custo de aquisição</w:t>
      </w:r>
      <w:r w:rsidR="00C26C4B">
        <w:t>.</w:t>
      </w:r>
    </w:p>
    <w:p w:rsidR="00C26C4B" w:rsidRPr="00AB2130" w:rsidRDefault="00C26C4B" w:rsidP="00C26C4B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>Depreciação, Amortização e Exaustão</w:t>
      </w:r>
    </w:p>
    <w:p w:rsidR="00C26C4B" w:rsidRPr="00BD106D" w:rsidRDefault="00BD106D" w:rsidP="00C26C4B">
      <w:pPr>
        <w:spacing w:before="100" w:beforeAutospacing="1" w:after="100" w:afterAutospacing="1" w:line="240" w:lineRule="auto"/>
        <w:ind w:firstLine="709"/>
        <w:jc w:val="both"/>
        <w:rPr>
          <w:rFonts w:ascii="Microsoft JhengHei" w:eastAsia="Microsoft JhengHei" w:hAnsi="Microsoft JhengHei" w:cs="Microsoft JhengHei"/>
        </w:rPr>
      </w:pPr>
      <w:r>
        <w:t>Em 13 de julho de 2017 foi publicado o Decreto Municipal n</w:t>
      </w:r>
      <w:r w:rsidRPr="00BD106D">
        <w:rPr>
          <w:rFonts w:hint="eastAsia"/>
        </w:rPr>
        <w:t>º 6239 que normatiza o controle da movimentaç</w:t>
      </w:r>
      <w:r w:rsidRPr="00BD106D">
        <w:t>ão dos bens patrimoniais da administração</w:t>
      </w:r>
      <w:r>
        <w:t xml:space="preserve"> possibilitando parametrizar o sistema de informática. Com isso, é possível localizar os bens e analisa-los de forma criteriosa as condições de uso e também implementar a depreciação dos mesmos.  </w:t>
      </w:r>
    </w:p>
    <w:p w:rsidR="00927442" w:rsidRPr="00927442" w:rsidRDefault="00927442" w:rsidP="00927442">
      <w:pPr>
        <w:spacing w:before="100" w:beforeAutospacing="1" w:after="100" w:afterAutospacing="1" w:line="240" w:lineRule="auto"/>
        <w:jc w:val="both"/>
        <w:rPr>
          <w:b/>
        </w:rPr>
      </w:pPr>
      <w:r w:rsidRPr="00927442">
        <w:rPr>
          <w:b/>
        </w:rPr>
        <w:t>NOTA 4 – BALANÇO ORÇAMENTÁRIO</w:t>
      </w:r>
    </w:p>
    <w:p w:rsidR="00927442" w:rsidRDefault="00785936" w:rsidP="00785936">
      <w:pPr>
        <w:spacing w:before="100" w:beforeAutospacing="1" w:after="100" w:afterAutospacing="1" w:line="240" w:lineRule="auto"/>
        <w:ind w:firstLine="709"/>
        <w:jc w:val="both"/>
      </w:pPr>
      <w:r>
        <w:t xml:space="preserve">O Balanço Orçamentário, de acordo com o art. 102 da Lei nº 4.320/1964, demonstra as receitas e despesas previstas em confronto com as realizadas e </w:t>
      </w:r>
      <w:r w:rsidR="00927442">
        <w:t>foi elaborado com base nas orientações da IPC 07 e seguindo o modelo estatuído pelo Manual de Contabilidade Aplicada ao Setor Público, 5ª edição.</w:t>
      </w:r>
    </w:p>
    <w:p w:rsidR="00927442" w:rsidRDefault="00927442" w:rsidP="00785936">
      <w:pPr>
        <w:spacing w:before="100" w:beforeAutospacing="1" w:after="100" w:afterAutospacing="1" w:line="240" w:lineRule="auto"/>
        <w:ind w:firstLine="709"/>
        <w:jc w:val="both"/>
      </w:pPr>
      <w:r>
        <w:t>O Balanço Orçamentário apresenta as receitas detalhadas por categoria econômica</w:t>
      </w:r>
      <w:r w:rsidR="00785936">
        <w:t xml:space="preserve"> </w:t>
      </w:r>
      <w:r>
        <w:t>e origem, especificando a previsão inicial, a previsão atualizada para o exercício, a</w:t>
      </w:r>
      <w:r w:rsidR="00785936">
        <w:t xml:space="preserve"> </w:t>
      </w:r>
      <w:r>
        <w:t>receita realizada e o saldo, que corresponde ao excesso ou déficit de arrecadação.</w:t>
      </w:r>
    </w:p>
    <w:p w:rsidR="00927442" w:rsidRDefault="00927442" w:rsidP="00785936">
      <w:pPr>
        <w:spacing w:before="100" w:beforeAutospacing="1" w:after="100" w:afterAutospacing="1" w:line="240" w:lineRule="auto"/>
        <w:ind w:firstLine="709"/>
        <w:jc w:val="both"/>
      </w:pPr>
      <w:r>
        <w:t>Demonstra também as despesas por categoria econômica e grupo de natureza da</w:t>
      </w:r>
      <w:r w:rsidR="00785936">
        <w:t xml:space="preserve"> </w:t>
      </w:r>
      <w:r>
        <w:t>despesa, discriminando a dotação inicial, a dotação atualizada para o exercício, as</w:t>
      </w:r>
      <w:r w:rsidR="00785936">
        <w:t xml:space="preserve"> </w:t>
      </w:r>
      <w:r>
        <w:t>despesas empenhadas, as despesas liquidadas, as despesas pagas e o saldo da</w:t>
      </w:r>
      <w:r w:rsidR="00785936">
        <w:t xml:space="preserve"> </w:t>
      </w:r>
      <w:r>
        <w:t>dotação.</w:t>
      </w:r>
    </w:p>
    <w:p w:rsidR="00927442" w:rsidRDefault="00785936" w:rsidP="00785936">
      <w:pPr>
        <w:spacing w:before="100" w:beforeAutospacing="1" w:after="100" w:afterAutospacing="1" w:line="240" w:lineRule="auto"/>
        <w:ind w:firstLine="709"/>
        <w:jc w:val="both"/>
      </w:pPr>
      <w:r>
        <w:t xml:space="preserve">Houve </w:t>
      </w:r>
      <w:r w:rsidR="00927442">
        <w:t>o detalhamento das receitas e despesas intraorçamentárias</w:t>
      </w:r>
      <w:r>
        <w:t xml:space="preserve">, </w:t>
      </w:r>
      <w:r w:rsidR="00927442">
        <w:t>ap</w:t>
      </w:r>
      <w:r>
        <w:t>resentado em notas explicativas integrante da própria demonstração.</w:t>
      </w:r>
    </w:p>
    <w:p w:rsidR="00927442" w:rsidRDefault="00927442" w:rsidP="00785936">
      <w:pPr>
        <w:spacing w:before="100" w:beforeAutospacing="1" w:after="100" w:afterAutospacing="1" w:line="240" w:lineRule="auto"/>
        <w:ind w:firstLine="709"/>
        <w:jc w:val="both"/>
      </w:pPr>
      <w:r>
        <w:t>Os valores referentes ao refinanciamento da dívida mobiliária e de outras dívidas</w:t>
      </w:r>
      <w:r w:rsidR="00785936">
        <w:t xml:space="preserve"> </w:t>
      </w:r>
      <w:r>
        <w:t>constam, destacadamente, nas receitas de operações de crédito internas e externas</w:t>
      </w:r>
      <w:r w:rsidR="00785936">
        <w:t xml:space="preserve"> </w:t>
      </w:r>
      <w:r>
        <w:t>e, nesse mesmo nível de agregação, nas despesas com amortização da dívida de</w:t>
      </w:r>
      <w:r w:rsidR="00785936">
        <w:t xml:space="preserve"> </w:t>
      </w:r>
      <w:r>
        <w:t>refinanciamento.</w:t>
      </w:r>
    </w:p>
    <w:p w:rsidR="00927442" w:rsidRDefault="00927442" w:rsidP="00785936">
      <w:pPr>
        <w:spacing w:before="100" w:beforeAutospacing="1" w:after="100" w:afterAutospacing="1" w:line="240" w:lineRule="auto"/>
        <w:ind w:firstLine="709"/>
        <w:jc w:val="both"/>
      </w:pPr>
      <w:r>
        <w:t>O Balanço Orçamentário é elaborado utilizando-se as classes 5, grupo 2</w:t>
      </w:r>
      <w:r w:rsidR="00785936">
        <w:t xml:space="preserve"> </w:t>
      </w:r>
      <w:r>
        <w:t>(Orçamento aprovado: previsão da receita e fixação da despesa) e classe 6, grupo</w:t>
      </w:r>
      <w:r w:rsidR="00785936">
        <w:t xml:space="preserve"> </w:t>
      </w:r>
      <w:r>
        <w:t>2 (Execução do orçamento: realização da receita e execução da despesa) do PCASP.</w:t>
      </w:r>
    </w:p>
    <w:p w:rsidR="00927442" w:rsidRDefault="00927442" w:rsidP="00785936">
      <w:pPr>
        <w:spacing w:before="100" w:beforeAutospacing="1" w:after="100" w:afterAutospacing="1" w:line="240" w:lineRule="auto"/>
        <w:ind w:firstLine="709"/>
        <w:jc w:val="both"/>
      </w:pPr>
      <w:r>
        <w:lastRenderedPageBreak/>
        <w:t>O Balanço Orçamentário é composto por:</w:t>
      </w:r>
    </w:p>
    <w:p w:rsidR="00CD68A6" w:rsidRDefault="00927442" w:rsidP="000D3A4C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Quadro Principal</w:t>
      </w:r>
      <w:r w:rsidR="00785936">
        <w:t xml:space="preserve">: são apresentadas as receitas e despesas previstas em confronto com as realizadas. As receitas e despesas são apresentadas conforme a classificação por natureza. No caso da despesa, a classificação funcional também é utilizada complementarmente à classificação por natureza. Ainda no Quadro Principal, as receitas são informadas pelos valores líquidos das respectivas deduções, tais como restituições, descontos, retificações, deduções para o </w:t>
      </w:r>
      <w:proofErr w:type="spellStart"/>
      <w:r w:rsidR="00785936">
        <w:t>Fundeb</w:t>
      </w:r>
      <w:proofErr w:type="spellEnd"/>
      <w:r w:rsidR="00785936">
        <w:t xml:space="preserve"> e repartições de receita tributária entre os entes da Federação, quando registradas como dedução.</w:t>
      </w:r>
    </w:p>
    <w:p w:rsidR="00CD68A6" w:rsidRDefault="00CD68A6" w:rsidP="00CD68A6">
      <w:pPr>
        <w:pStyle w:val="PargrafodaLista"/>
      </w:pPr>
    </w:p>
    <w:p w:rsidR="00785936" w:rsidRDefault="00927442" w:rsidP="00A73110">
      <w:pPr>
        <w:pStyle w:val="PargrafodaList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Quadro da Execução dos Restos a Pagar Processados e Restos a Pagar Não</w:t>
      </w:r>
      <w:r w:rsidR="00785936">
        <w:t xml:space="preserve"> Processados Liquidados: são informados os restos a pagar processados inscritos até o exercício anterior nas respectivas fases de execução. São informados, também, os restos a pagar inscritos na condição de não processados que tenham sido liquidados em exercício anterior.</w:t>
      </w:r>
    </w:p>
    <w:p w:rsidR="00A73110" w:rsidRDefault="00A73110" w:rsidP="00927442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NOTA 5 – BALANÇO FINANCEIRO</w:t>
      </w:r>
    </w:p>
    <w:p w:rsidR="00A73110" w:rsidRDefault="00A73110" w:rsidP="00A73110">
      <w:pPr>
        <w:spacing w:before="100" w:beforeAutospacing="1" w:after="100" w:afterAutospacing="1" w:line="240" w:lineRule="auto"/>
        <w:ind w:firstLine="709"/>
        <w:jc w:val="both"/>
      </w:pPr>
      <w:r>
        <w:t>O Balanço Financeiro (BF)1 evidencia as receitas e despesas orçamentárias, bem como os ingressos e dispêndios extraorçamentários, conjugados com os saldos de caixa do exercício anterior e os que se transferem para o início do exercício seguinte e foi elaborado de acordo com as instruções da IPC 06.</w:t>
      </w:r>
    </w:p>
    <w:p w:rsidR="00A73110" w:rsidRDefault="00A73110" w:rsidP="00A73110">
      <w:pPr>
        <w:spacing w:before="100" w:beforeAutospacing="1" w:after="100" w:afterAutospacing="1" w:line="240" w:lineRule="auto"/>
        <w:ind w:firstLine="709"/>
        <w:jc w:val="both"/>
      </w:pPr>
      <w:r>
        <w:t>Assim, o Balanço Financeiro contempla duas seções: Ingressos (Receitas Orçamentárias e Recebimentos Extraorçamentários) e Dispêndios (Despesa Orçamentária e Pagamentos Extraorçamentários), que se equilibram com a inclusão do saldo em espécie do exercício anterior na coluna dos ingressos e o saldo em espécie para o exercício seguinte na coluna dos dispêndios.</w:t>
      </w:r>
    </w:p>
    <w:p w:rsidR="00A73110" w:rsidRDefault="00A73110" w:rsidP="00A73110">
      <w:pPr>
        <w:spacing w:before="100" w:beforeAutospacing="1" w:after="100" w:afterAutospacing="1" w:line="240" w:lineRule="auto"/>
        <w:ind w:firstLine="709"/>
        <w:jc w:val="both"/>
      </w:pPr>
      <w:r>
        <w:t>BF é elaborado utilizando-se as seguintes classes do Plano de Contas Aplicado ao Setor Público (PCASP):</w:t>
      </w:r>
    </w:p>
    <w:p w:rsidR="00A73110" w:rsidRDefault="00A73110" w:rsidP="00A73110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Classes 1 (ativo) e 2 (passivo) para os recebimentos e pagamentos extraorçamentários, bem como para o saldo em espécie do exercício anterior e o saldo em espécie a transferir para o exercício seguinte;</w:t>
      </w:r>
    </w:p>
    <w:p w:rsidR="00A73110" w:rsidRDefault="00A73110" w:rsidP="007C0900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Classes 4 (variações patrimoniais aumentativas) e 3 (variações patrimoniais diminutivas) para as transferências financeiras recebidas e concedidas, respectivamente;</w:t>
      </w:r>
    </w:p>
    <w:p w:rsidR="00A73110" w:rsidRDefault="00A73110" w:rsidP="008E1FC3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Classe 5 para o preenchimento dos restos a pagar inscritos no exercício, conforme parágrafo único do artigo 103 da Lei n.º 4.320/1964; e</w:t>
      </w:r>
    </w:p>
    <w:p w:rsidR="00A73110" w:rsidRDefault="00A73110" w:rsidP="005A3555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Classe 6 para o preenchimento das informações de execução da receita e despesa orçamentária.</w:t>
      </w:r>
    </w:p>
    <w:p w:rsidR="00A73110" w:rsidRDefault="00A73110" w:rsidP="00A73110">
      <w:pPr>
        <w:spacing w:before="100" w:beforeAutospacing="1" w:after="100" w:afterAutospacing="1" w:line="240" w:lineRule="auto"/>
        <w:ind w:firstLine="709"/>
        <w:jc w:val="both"/>
      </w:pPr>
      <w:r>
        <w:t>Conforme as regras do MCASP, as informações são apresentadas por fonte/destinação de recursos, segregando em destinações ordinárias e vinculadas.</w:t>
      </w:r>
    </w:p>
    <w:p w:rsidR="00A73110" w:rsidRDefault="00A73110" w:rsidP="00A73110">
      <w:pPr>
        <w:spacing w:before="100" w:beforeAutospacing="1" w:after="100" w:afterAutospacing="1" w:line="240" w:lineRule="auto"/>
        <w:ind w:firstLine="709"/>
        <w:jc w:val="both"/>
      </w:pPr>
      <w:r>
        <w:t>O detalhamento das vinculações é feito de acordo com as principais áreas de atuação do setor público.</w:t>
      </w:r>
    </w:p>
    <w:p w:rsidR="00A73110" w:rsidRDefault="00A73110" w:rsidP="00A73110">
      <w:pPr>
        <w:spacing w:before="100" w:beforeAutospacing="1" w:after="100" w:afterAutospacing="1" w:line="240" w:lineRule="auto"/>
        <w:ind w:firstLine="709"/>
        <w:jc w:val="both"/>
      </w:pPr>
      <w:r>
        <w:t>As receitas orçamentárias são apresentadas líquidas das deduções.</w:t>
      </w:r>
    </w:p>
    <w:p w:rsidR="004C23B3" w:rsidRDefault="004C23B3" w:rsidP="00A73110">
      <w:pPr>
        <w:spacing w:before="100" w:beforeAutospacing="1" w:after="100" w:afterAutospacing="1" w:line="240" w:lineRule="auto"/>
        <w:jc w:val="both"/>
        <w:rPr>
          <w:b/>
        </w:rPr>
      </w:pPr>
    </w:p>
    <w:p w:rsidR="00A73110" w:rsidRPr="00A73110" w:rsidRDefault="00A73110" w:rsidP="00A73110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lastRenderedPageBreak/>
        <w:t>NOTA 6 – DEMONSTRAÇÃO DAS VARIAÇÕES PATRIMONIAIS</w:t>
      </w:r>
    </w:p>
    <w:p w:rsidR="00A73110" w:rsidRDefault="00A73110" w:rsidP="00A73110">
      <w:pPr>
        <w:spacing w:before="100" w:beforeAutospacing="1" w:after="100" w:afterAutospacing="1" w:line="240" w:lineRule="auto"/>
        <w:ind w:firstLine="709"/>
        <w:jc w:val="both"/>
      </w:pPr>
      <w:r>
        <w:t>A Demonstração das Variações Patrimoniais (DVP) é elaborada utilizando-se as</w:t>
      </w:r>
      <w:r w:rsidR="00687CAF">
        <w:t xml:space="preserve"> </w:t>
      </w:r>
      <w:r>
        <w:t>classes 3 (variações patrimoniais diminutivas) e 4 (variações patrimoniais</w:t>
      </w:r>
      <w:r w:rsidR="00687CAF">
        <w:t xml:space="preserve"> </w:t>
      </w:r>
      <w:r>
        <w:t>aumentativas) do PCASP, a fim de demonstrar as variações quantitativas</w:t>
      </w:r>
      <w:r w:rsidR="00687CAF">
        <w:t xml:space="preserve"> </w:t>
      </w:r>
      <w:r>
        <w:t>ocorridas no pa</w:t>
      </w:r>
      <w:r w:rsidR="00687CAF">
        <w:t>trimônio da entidade ou do ente e segue as instruções da ICP 05.</w:t>
      </w:r>
    </w:p>
    <w:p w:rsidR="00687CAF" w:rsidRDefault="00687CAF" w:rsidP="00687CAF">
      <w:pPr>
        <w:spacing w:before="100" w:beforeAutospacing="1" w:after="100" w:afterAutospacing="1" w:line="240" w:lineRule="auto"/>
        <w:ind w:firstLine="709"/>
        <w:jc w:val="both"/>
      </w:pPr>
      <w:r>
        <w:t>O resultado patrimonial do período é apurado pelo confronto entre as variações patrimoniais quantitativas aumentativas e diminutivas. O valor apurado compõe o saldo patrimonial do Balanço Patrimonial (BP) do exercício.</w:t>
      </w:r>
    </w:p>
    <w:p w:rsidR="00687CAF" w:rsidRDefault="00687CAF" w:rsidP="00927442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NOTA 7 – BALANÇO PATRIMONIAL</w:t>
      </w:r>
    </w:p>
    <w:p w:rsidR="00687CAF" w:rsidRDefault="00687CAF" w:rsidP="00687CAF">
      <w:pPr>
        <w:spacing w:before="100" w:beforeAutospacing="1" w:after="100" w:afterAutospacing="1" w:line="240" w:lineRule="auto"/>
        <w:ind w:firstLine="709"/>
        <w:jc w:val="both"/>
      </w:pPr>
      <w:r>
        <w:t>O Balanço Patrimonial é composto por:</w:t>
      </w:r>
    </w:p>
    <w:p w:rsidR="00687CAF" w:rsidRDefault="00687CAF" w:rsidP="003A6A7A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Quadro Principal: Conforme o MCASP, o QUADRO PRINCIPAL do Balanço Patrimonial é elaborado utilizando-se as classes 1 (ativo) e 2 (passivo e patrimônio líquido) do PCASP.</w:t>
      </w:r>
    </w:p>
    <w:p w:rsidR="00687CAF" w:rsidRDefault="00687CAF" w:rsidP="00E41424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Quadro dos Ativos e Passivos Financeiros e Permanentes: os ativos e passivos financeiros e permanentes e o saldo patrimonial são apresentados pelos seus valores totais.</w:t>
      </w:r>
    </w:p>
    <w:p w:rsidR="00687CAF" w:rsidRDefault="00687CAF" w:rsidP="00697173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Quadro das Contas de Compensação:</w:t>
      </w:r>
      <w:r w:rsidRPr="00687CAF">
        <w:t xml:space="preserve"> </w:t>
      </w:r>
      <w:r>
        <w:t>elaborado utilizando-se a classe 8 (controles credores) do Plano de Contas Aplicado ao Setor Público (PCASP).</w:t>
      </w:r>
    </w:p>
    <w:p w:rsidR="00687CAF" w:rsidRDefault="00687CAF" w:rsidP="006A1A2D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Quadro do Superávit / Déficit Financeiro: é elaborado utilizando-se o saldo da conta 8.2.1.1.1.00.00 – Disponibilidade por Destinação de Recurso, segregado por Fonte / Destinação de Recurso.</w:t>
      </w:r>
    </w:p>
    <w:p w:rsidR="00687CAF" w:rsidRDefault="00687CAF" w:rsidP="00687CAF">
      <w:pPr>
        <w:spacing w:before="100" w:beforeAutospacing="1" w:after="100" w:afterAutospacing="1" w:line="240" w:lineRule="auto"/>
        <w:ind w:firstLine="709"/>
        <w:jc w:val="both"/>
      </w:pPr>
    </w:p>
    <w:p w:rsidR="00210DB7" w:rsidRDefault="00210DB7" w:rsidP="00927442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NOTA 8 – DEMONSTRAÇÃO DOS FLUXOS DE CAIXA</w:t>
      </w:r>
    </w:p>
    <w:p w:rsidR="00210DB7" w:rsidRDefault="00210DB7" w:rsidP="00210DB7">
      <w:pPr>
        <w:spacing w:before="100" w:beforeAutospacing="1" w:after="100" w:afterAutospacing="1" w:line="240" w:lineRule="auto"/>
        <w:ind w:firstLine="709"/>
        <w:jc w:val="both"/>
      </w:pPr>
      <w:r>
        <w:t>Demonstração dos Fluxos de Caixa (DFC) apresenta as entradas e saídas de caixa classificadas em fluxos operacional, de investimento e de financiamento, e foi elaborada de acordo com a IPC 08.</w:t>
      </w:r>
    </w:p>
    <w:p w:rsidR="00210DB7" w:rsidRDefault="00210DB7" w:rsidP="00210DB7">
      <w:pPr>
        <w:spacing w:before="100" w:beforeAutospacing="1" w:after="100" w:afterAutospacing="1" w:line="240" w:lineRule="auto"/>
        <w:ind w:firstLine="709"/>
        <w:jc w:val="both"/>
      </w:pPr>
      <w:r>
        <w:t xml:space="preserve">DFC é elaborada utilizando-se contas da classe 6 (Controles da Execução do Planejamento e Orçamento), com filtros pelas naturezas orçamentárias de receitas e de despesas, bem como funções e </w:t>
      </w:r>
      <w:proofErr w:type="spellStart"/>
      <w:r>
        <w:t>subfunções</w:t>
      </w:r>
      <w:proofErr w:type="spellEnd"/>
      <w:r>
        <w:t xml:space="preserve">. Também faz uso, quando necessário, de outras contas e filtros necessários para marcar a movimentação </w:t>
      </w:r>
      <w:proofErr w:type="spellStart"/>
      <w:r>
        <w:t>extraorçamentária</w:t>
      </w:r>
      <w:proofErr w:type="spellEnd"/>
      <w:r>
        <w:t xml:space="preserve"> que eventualmente transitar pela conta Caixa e Equivalentes de Caixa.</w:t>
      </w:r>
    </w:p>
    <w:p w:rsidR="00210DB7" w:rsidRDefault="00210DB7" w:rsidP="00210DB7">
      <w:pPr>
        <w:spacing w:before="100" w:beforeAutospacing="1" w:after="100" w:afterAutospacing="1" w:line="240" w:lineRule="auto"/>
        <w:ind w:firstLine="709"/>
        <w:jc w:val="both"/>
      </w:pPr>
      <w:r>
        <w:t>DFC é elaborada pelo método direto e evidencia as movimentações ocorridas na conta Caixa e Equivalentes de Caixa, segregados nos fluxos das operações, dos investimentos e dos financiamentos.</w:t>
      </w:r>
    </w:p>
    <w:p w:rsidR="00210DB7" w:rsidRDefault="00210DB7" w:rsidP="00210DB7">
      <w:pPr>
        <w:spacing w:before="100" w:beforeAutospacing="1" w:after="100" w:afterAutospacing="1" w:line="240" w:lineRule="auto"/>
        <w:ind w:firstLine="709"/>
        <w:jc w:val="both"/>
      </w:pPr>
      <w:r>
        <w:t>A soma dos três fluxos deverá corresponder a diferença entre o saldo de Caixa e Equivalentes de Caixa do exercício em relação ao saldo de Caixa e Equivalentes de Caixa do exercício anterior.</w:t>
      </w:r>
    </w:p>
    <w:p w:rsidR="00210DB7" w:rsidRPr="00210DB7" w:rsidRDefault="00210DB7" w:rsidP="00210DB7">
      <w:pPr>
        <w:spacing w:before="100" w:beforeAutospacing="1" w:after="100" w:afterAutospacing="1" w:line="240" w:lineRule="auto"/>
        <w:ind w:firstLine="709"/>
        <w:jc w:val="both"/>
      </w:pPr>
      <w:r>
        <w:t xml:space="preserve">Os campos “Outros ingressos” e “Outros desembolsos” (do fluxo operacional, do fluxo de investimento e do fluxo de financiamento) contemplam situações não previstas, cabendo a cada ente adaptá-los conforme suas necessidades. Geralmente, são valores que não transitam pelo orçamento, mas afetam o saldo de Caixa e Equivalentes de Caixa. Exemplos: recebimentos e pagamentos </w:t>
      </w:r>
      <w:r>
        <w:lastRenderedPageBreak/>
        <w:t>extraorçamentários; transferências finance</w:t>
      </w:r>
      <w:r w:rsidR="00B64164">
        <w:t xml:space="preserve">iras entre órgãos do mesmo ente, </w:t>
      </w:r>
      <w:r>
        <w:t>aplicações e resgates de investimentos temporários.</w:t>
      </w:r>
    </w:p>
    <w:p w:rsidR="009779AD" w:rsidRPr="00AB2130" w:rsidRDefault="009779AD" w:rsidP="00927442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 xml:space="preserve">NOTA </w:t>
      </w:r>
      <w:r w:rsidR="00B64164">
        <w:rPr>
          <w:b/>
        </w:rPr>
        <w:t>9</w:t>
      </w:r>
      <w:r w:rsidR="00B64164" w:rsidRPr="00AB2130">
        <w:rPr>
          <w:b/>
        </w:rPr>
        <w:t xml:space="preserve"> – </w:t>
      </w:r>
      <w:r w:rsidR="009350B7">
        <w:rPr>
          <w:b/>
        </w:rPr>
        <w:t>METAS FISCAIS</w:t>
      </w:r>
      <w:r w:rsidR="00355A73">
        <w:rPr>
          <w:b/>
        </w:rPr>
        <w:t xml:space="preserve"> E RESPONSABILIDADE</w:t>
      </w:r>
    </w:p>
    <w:p w:rsidR="009779AD" w:rsidRDefault="009779AD" w:rsidP="009779AD">
      <w:pPr>
        <w:spacing w:before="100" w:beforeAutospacing="1" w:after="100" w:afterAutospacing="1" w:line="240" w:lineRule="auto"/>
        <w:ind w:firstLine="709"/>
        <w:jc w:val="both"/>
      </w:pPr>
      <w:r>
        <w:t>Em relação às metas fiscais, indicadas na</w:t>
      </w:r>
      <w:r w:rsidR="001A25A1">
        <w:t xml:space="preserve"> </w:t>
      </w:r>
      <w:r>
        <w:t xml:space="preserve">LDO </w:t>
      </w:r>
      <w:r w:rsidR="001A25A1">
        <w:t xml:space="preserve">e LOA </w:t>
      </w:r>
      <w:r w:rsidR="00B64164">
        <w:t>201</w:t>
      </w:r>
      <w:r w:rsidR="008C0E60">
        <w:t>7</w:t>
      </w:r>
      <w:r>
        <w:t xml:space="preserve"> observou-se que sua realização, em comparação com a respectiva programação comportou-se da seguinte maneira:</w:t>
      </w:r>
    </w:p>
    <w:p w:rsidR="009779AD" w:rsidRPr="009E52A4" w:rsidRDefault="009779AD" w:rsidP="009779AD">
      <w:pPr>
        <w:pStyle w:val="Legenda"/>
        <w:keepNext/>
        <w:rPr>
          <w:color w:val="auto"/>
        </w:rPr>
      </w:pPr>
      <w:r w:rsidRPr="009E52A4">
        <w:rPr>
          <w:color w:val="auto"/>
        </w:rPr>
        <w:t xml:space="preserve">Figura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Figura \* ARABIC </w:instrText>
      </w:r>
      <w:r>
        <w:rPr>
          <w:color w:val="auto"/>
        </w:rPr>
        <w:fldChar w:fldCharType="separate"/>
      </w:r>
      <w:r w:rsidR="001064FC">
        <w:rPr>
          <w:noProof/>
          <w:color w:val="auto"/>
        </w:rPr>
        <w:t>1</w:t>
      </w:r>
      <w:r>
        <w:rPr>
          <w:color w:val="auto"/>
        </w:rPr>
        <w:fldChar w:fldCharType="end"/>
      </w:r>
      <w:r w:rsidRPr="009E52A4">
        <w:rPr>
          <w:color w:val="auto"/>
        </w:rPr>
        <w:t xml:space="preserve"> Comparativo de Metas Fiscais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3"/>
        <w:gridCol w:w="1931"/>
        <w:gridCol w:w="1985"/>
        <w:gridCol w:w="1701"/>
      </w:tblGrid>
      <w:tr w:rsidR="009779AD" w:rsidRPr="00A9325D" w:rsidTr="00F75970">
        <w:tc>
          <w:tcPr>
            <w:tcW w:w="2033" w:type="dxa"/>
          </w:tcPr>
          <w:p w:rsidR="009779AD" w:rsidRPr="00A9325D" w:rsidRDefault="009779AD" w:rsidP="00B36F9F">
            <w:pPr>
              <w:tabs>
                <w:tab w:val="left" w:pos="2212"/>
              </w:tabs>
              <w:jc w:val="center"/>
              <w:rPr>
                <w:b/>
              </w:rPr>
            </w:pPr>
            <w:r w:rsidRPr="00A9325D">
              <w:rPr>
                <w:b/>
              </w:rPr>
              <w:t>Meta Fiscal</w:t>
            </w:r>
          </w:p>
        </w:tc>
        <w:tc>
          <w:tcPr>
            <w:tcW w:w="1931" w:type="dxa"/>
          </w:tcPr>
          <w:p w:rsidR="009779AD" w:rsidRPr="00A9325D" w:rsidRDefault="009779AD" w:rsidP="00B36F9F">
            <w:pPr>
              <w:tabs>
                <w:tab w:val="left" w:pos="2212"/>
              </w:tabs>
              <w:jc w:val="center"/>
              <w:rPr>
                <w:b/>
              </w:rPr>
            </w:pPr>
            <w:r w:rsidRPr="00A9325D">
              <w:rPr>
                <w:b/>
              </w:rPr>
              <w:t>LDO</w:t>
            </w:r>
          </w:p>
        </w:tc>
        <w:tc>
          <w:tcPr>
            <w:tcW w:w="1985" w:type="dxa"/>
          </w:tcPr>
          <w:p w:rsidR="009779AD" w:rsidRPr="00A9325D" w:rsidRDefault="009779AD" w:rsidP="00B36F9F">
            <w:pPr>
              <w:tabs>
                <w:tab w:val="left" w:pos="2212"/>
              </w:tabs>
              <w:jc w:val="center"/>
              <w:rPr>
                <w:b/>
              </w:rPr>
            </w:pPr>
            <w:r w:rsidRPr="00A9325D">
              <w:rPr>
                <w:b/>
              </w:rPr>
              <w:t>LOA</w:t>
            </w:r>
          </w:p>
        </w:tc>
        <w:tc>
          <w:tcPr>
            <w:tcW w:w="1701" w:type="dxa"/>
          </w:tcPr>
          <w:p w:rsidR="009779AD" w:rsidRPr="00A9325D" w:rsidRDefault="009779AD" w:rsidP="00B36F9F">
            <w:pPr>
              <w:tabs>
                <w:tab w:val="left" w:pos="2212"/>
              </w:tabs>
              <w:jc w:val="center"/>
              <w:rPr>
                <w:b/>
              </w:rPr>
            </w:pPr>
            <w:r w:rsidRPr="00A9325D">
              <w:rPr>
                <w:b/>
              </w:rPr>
              <w:t>Realizado</w:t>
            </w:r>
          </w:p>
        </w:tc>
      </w:tr>
      <w:tr w:rsidR="009779AD" w:rsidTr="00F75970">
        <w:tc>
          <w:tcPr>
            <w:tcW w:w="2033" w:type="dxa"/>
          </w:tcPr>
          <w:p w:rsidR="009779AD" w:rsidRDefault="009779AD" w:rsidP="00B36F9F">
            <w:pPr>
              <w:tabs>
                <w:tab w:val="left" w:pos="2212"/>
              </w:tabs>
            </w:pPr>
            <w:r>
              <w:t>Resultado Primário</w:t>
            </w:r>
          </w:p>
        </w:tc>
        <w:tc>
          <w:tcPr>
            <w:tcW w:w="1931" w:type="dxa"/>
          </w:tcPr>
          <w:p w:rsidR="009779AD" w:rsidRDefault="009779AD" w:rsidP="00F75970">
            <w:pPr>
              <w:tabs>
                <w:tab w:val="left" w:pos="2212"/>
              </w:tabs>
            </w:pPr>
            <w:r>
              <w:t xml:space="preserve">R$ </w:t>
            </w:r>
            <w:r w:rsidR="00F75970">
              <w:t>10.217.568,00</w:t>
            </w:r>
          </w:p>
        </w:tc>
        <w:tc>
          <w:tcPr>
            <w:tcW w:w="1985" w:type="dxa"/>
          </w:tcPr>
          <w:p w:rsidR="009779AD" w:rsidRDefault="009779AD" w:rsidP="00F75970">
            <w:pPr>
              <w:tabs>
                <w:tab w:val="left" w:pos="2212"/>
              </w:tabs>
            </w:pPr>
            <w:r>
              <w:t xml:space="preserve">R$ </w:t>
            </w:r>
            <w:r w:rsidR="00F75970">
              <w:t>10.217.568,00</w:t>
            </w:r>
          </w:p>
        </w:tc>
        <w:tc>
          <w:tcPr>
            <w:tcW w:w="1701" w:type="dxa"/>
          </w:tcPr>
          <w:p w:rsidR="009779AD" w:rsidRDefault="009779AD" w:rsidP="00F75970">
            <w:pPr>
              <w:tabs>
                <w:tab w:val="left" w:pos="2212"/>
              </w:tabs>
            </w:pPr>
            <w:r>
              <w:t xml:space="preserve">R$ </w:t>
            </w:r>
            <w:r w:rsidR="00F75970">
              <w:t>4.413.651,54</w:t>
            </w:r>
          </w:p>
        </w:tc>
      </w:tr>
      <w:tr w:rsidR="009779AD" w:rsidTr="00F75970">
        <w:tc>
          <w:tcPr>
            <w:tcW w:w="2033" w:type="dxa"/>
          </w:tcPr>
          <w:p w:rsidR="009779AD" w:rsidRDefault="009779AD" w:rsidP="00B36F9F">
            <w:pPr>
              <w:tabs>
                <w:tab w:val="left" w:pos="2212"/>
              </w:tabs>
            </w:pPr>
            <w:r>
              <w:t>Resultado Nominal</w:t>
            </w:r>
          </w:p>
        </w:tc>
        <w:tc>
          <w:tcPr>
            <w:tcW w:w="1931" w:type="dxa"/>
          </w:tcPr>
          <w:p w:rsidR="009779AD" w:rsidRDefault="009350B7" w:rsidP="008C0E60">
            <w:pPr>
              <w:tabs>
                <w:tab w:val="left" w:pos="2212"/>
              </w:tabs>
            </w:pPr>
            <w:r>
              <w:t xml:space="preserve">      </w:t>
            </w:r>
            <w:r w:rsidR="009779AD">
              <w:t xml:space="preserve">R$ </w:t>
            </w:r>
            <w:r w:rsidR="008C0E60">
              <w:t>781.888,00</w:t>
            </w:r>
          </w:p>
        </w:tc>
        <w:tc>
          <w:tcPr>
            <w:tcW w:w="1985" w:type="dxa"/>
          </w:tcPr>
          <w:p w:rsidR="009779AD" w:rsidRDefault="009350B7" w:rsidP="008C0E60">
            <w:pPr>
              <w:tabs>
                <w:tab w:val="left" w:pos="2212"/>
              </w:tabs>
            </w:pPr>
            <w:r>
              <w:t xml:space="preserve">      </w:t>
            </w:r>
            <w:r w:rsidR="009779AD">
              <w:t xml:space="preserve">R$ </w:t>
            </w:r>
            <w:r w:rsidR="008C0E60">
              <w:t>781.888,00</w:t>
            </w:r>
          </w:p>
        </w:tc>
        <w:tc>
          <w:tcPr>
            <w:tcW w:w="1701" w:type="dxa"/>
          </w:tcPr>
          <w:p w:rsidR="009779AD" w:rsidRDefault="009350B7" w:rsidP="008C0E60">
            <w:pPr>
              <w:tabs>
                <w:tab w:val="left" w:pos="2212"/>
              </w:tabs>
            </w:pPr>
            <w:r>
              <w:t xml:space="preserve">    </w:t>
            </w:r>
            <w:r w:rsidR="009779AD">
              <w:t xml:space="preserve">R$ </w:t>
            </w:r>
            <w:r w:rsidR="008C0E60">
              <w:t>199.297,82</w:t>
            </w:r>
          </w:p>
        </w:tc>
      </w:tr>
    </w:tbl>
    <w:p w:rsidR="001740A9" w:rsidRPr="001740A9" w:rsidRDefault="001740A9" w:rsidP="009779AD">
      <w:pPr>
        <w:spacing w:before="100" w:beforeAutospacing="1" w:after="100" w:afterAutospacing="1" w:line="240" w:lineRule="auto"/>
        <w:jc w:val="both"/>
      </w:pPr>
      <w:r>
        <w:rPr>
          <w:b/>
        </w:rPr>
        <w:tab/>
      </w:r>
      <w:r>
        <w:t>O percentual de despesas liquidada com pessoal do Executivo no ano de 2017 foi de 46,99% e do Legislativo 1,15%. O investimento em Educação foi de 29,55% e na Saúde 17,96% em 2017.</w:t>
      </w:r>
    </w:p>
    <w:p w:rsidR="009779AD" w:rsidRPr="00AB2130" w:rsidRDefault="009779AD" w:rsidP="009779AD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 xml:space="preserve">NOTA </w:t>
      </w:r>
      <w:r w:rsidR="00B64164">
        <w:rPr>
          <w:b/>
        </w:rPr>
        <w:t>10</w:t>
      </w:r>
      <w:r w:rsidR="00B64164" w:rsidRPr="00AB2130">
        <w:rPr>
          <w:b/>
        </w:rPr>
        <w:t xml:space="preserve"> – AJUSTES </w:t>
      </w:r>
      <w:r w:rsidR="00BC272D">
        <w:rPr>
          <w:b/>
        </w:rPr>
        <w:t>DE EXERCÍCIOS ANTERIORES</w:t>
      </w:r>
    </w:p>
    <w:p w:rsidR="003F5A12" w:rsidRDefault="00B64164" w:rsidP="009779AD">
      <w:pPr>
        <w:spacing w:before="100" w:beforeAutospacing="1" w:after="100" w:afterAutospacing="1" w:line="240" w:lineRule="auto"/>
        <w:ind w:firstLine="709"/>
        <w:jc w:val="both"/>
      </w:pPr>
      <w:r>
        <w:t xml:space="preserve">A conta </w:t>
      </w:r>
      <w:r w:rsidRPr="00B64164">
        <w:t>2.3.</w:t>
      </w:r>
      <w:r w:rsidR="00BC272D">
        <w:t>7</w:t>
      </w:r>
      <w:r w:rsidRPr="00B64164">
        <w:t>.1.1.</w:t>
      </w:r>
      <w:r w:rsidR="00BC272D">
        <w:t>03</w:t>
      </w:r>
      <w:r w:rsidRPr="00B64164">
        <w:t>.00.00.00.00</w:t>
      </w:r>
      <w:r w:rsidR="00BC272D">
        <w:t>, AJUSTES DE EXERCÍCIOS ANTERIORES registrou movimentação de R$ 248.336.722,26 para ajusta</w:t>
      </w:r>
      <w:r w:rsidR="00662677">
        <w:t>r</w:t>
      </w:r>
      <w:r w:rsidR="00BC272D">
        <w:t xml:space="preserve"> os bens imóveis lançados em anos anteriores </w:t>
      </w:r>
      <w:r w:rsidR="00662677">
        <w:t xml:space="preserve">e </w:t>
      </w:r>
      <w:r w:rsidR="00BC272D">
        <w:t>o</w:t>
      </w:r>
      <w:r w:rsidR="00662677">
        <w:t>s</w:t>
      </w:r>
      <w:r w:rsidR="00BC272D">
        <w:t xml:space="preserve"> que não </w:t>
      </w:r>
      <w:r w:rsidR="00662677">
        <w:t xml:space="preserve">foram </w:t>
      </w:r>
      <w:r w:rsidR="00BC272D">
        <w:t>registrados em anos anteriores.</w:t>
      </w:r>
    </w:p>
    <w:p w:rsidR="009779AD" w:rsidRPr="00AB2130" w:rsidRDefault="009779AD" w:rsidP="009779AD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 xml:space="preserve">NOTA </w:t>
      </w:r>
      <w:r w:rsidR="004E5728">
        <w:rPr>
          <w:b/>
        </w:rPr>
        <w:t>11</w:t>
      </w:r>
      <w:r w:rsidR="004E5728" w:rsidRPr="00AB2130">
        <w:rPr>
          <w:b/>
        </w:rPr>
        <w:t xml:space="preserve"> – ATIVOS IMOBILIZADOS E INTANGÍVEIS OBTIDOS A TÍTULO GRATUITO</w:t>
      </w:r>
    </w:p>
    <w:p w:rsidR="00187BD1" w:rsidRDefault="00187BD1" w:rsidP="004E5728">
      <w:pPr>
        <w:spacing w:before="100" w:beforeAutospacing="1" w:after="100" w:afterAutospacing="1" w:line="240" w:lineRule="auto"/>
        <w:ind w:firstLine="709"/>
        <w:jc w:val="both"/>
      </w:pPr>
      <w:r>
        <w:t>Du</w:t>
      </w:r>
      <w:r w:rsidR="009779AD">
        <w:t xml:space="preserve">rante o exercício de </w:t>
      </w:r>
      <w:r w:rsidR="004E5728">
        <w:t>201</w:t>
      </w:r>
      <w:r w:rsidR="00EF23AB">
        <w:t>7</w:t>
      </w:r>
      <w:r>
        <w:t xml:space="preserve"> </w:t>
      </w:r>
      <w:r w:rsidR="004E5728">
        <w:t>não foram obtidos ativos intangíveis ou a título gratuito.</w:t>
      </w:r>
    </w:p>
    <w:p w:rsidR="002D1D9E" w:rsidRPr="00AB2130" w:rsidRDefault="002D1D9E" w:rsidP="002D1D9E">
      <w:pPr>
        <w:spacing w:before="100" w:beforeAutospacing="1" w:after="100" w:afterAutospacing="1" w:line="240" w:lineRule="auto"/>
        <w:jc w:val="both"/>
        <w:rPr>
          <w:b/>
        </w:rPr>
      </w:pPr>
      <w:r w:rsidRPr="00AB2130">
        <w:rPr>
          <w:b/>
        </w:rPr>
        <w:t xml:space="preserve">NOTA </w:t>
      </w:r>
      <w:r>
        <w:rPr>
          <w:b/>
        </w:rPr>
        <w:t>12</w:t>
      </w:r>
      <w:r w:rsidRPr="00AB2130">
        <w:rPr>
          <w:b/>
        </w:rPr>
        <w:t xml:space="preserve"> – </w:t>
      </w:r>
      <w:r>
        <w:rPr>
          <w:b/>
        </w:rPr>
        <w:t>CONCILIAÇÃO BANCÁRIA</w:t>
      </w:r>
      <w:r w:rsidR="00B364D8">
        <w:rPr>
          <w:b/>
        </w:rPr>
        <w:t xml:space="preserve"> </w:t>
      </w:r>
    </w:p>
    <w:p w:rsidR="002D1D9E" w:rsidRDefault="009800C2" w:rsidP="004E5728">
      <w:pPr>
        <w:spacing w:before="100" w:beforeAutospacing="1" w:after="100" w:afterAutospacing="1" w:line="240" w:lineRule="auto"/>
        <w:ind w:firstLine="709"/>
        <w:jc w:val="both"/>
      </w:pPr>
      <w:r>
        <w:t>No encerramento do ano de 201</w:t>
      </w:r>
      <w:r>
        <w:t>7</w:t>
      </w:r>
      <w:r>
        <w:t xml:space="preserve"> ficaram na conciliação os arquivo</w:t>
      </w:r>
      <w:bookmarkStart w:id="0" w:name="_GoBack"/>
      <w:bookmarkEnd w:id="0"/>
      <w:r>
        <w:t xml:space="preserve">s de retorno bancário dos Banrisul, Banco do Brasil e Caixa Econômica Federal do dia </w:t>
      </w:r>
      <w:r w:rsidR="00662677">
        <w:t>28/12/2017.</w:t>
      </w:r>
    </w:p>
    <w:p w:rsidR="004E5728" w:rsidRDefault="004E5728" w:rsidP="004E5728">
      <w:pPr>
        <w:spacing w:before="100" w:beforeAutospacing="1" w:after="100" w:afterAutospacing="1" w:line="240" w:lineRule="auto"/>
        <w:ind w:firstLine="709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17259" w:rsidTr="00123E3C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B17259" w:rsidRDefault="00B17259" w:rsidP="00123E3C">
            <w:pPr>
              <w:rPr>
                <w:b/>
              </w:rPr>
            </w:pPr>
          </w:p>
        </w:tc>
      </w:tr>
      <w:tr w:rsidR="00B17259" w:rsidRPr="00734CDA" w:rsidTr="00123E3C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B17259" w:rsidRPr="00734CDA" w:rsidRDefault="00100792" w:rsidP="00123E3C">
            <w:pPr>
              <w:jc w:val="center"/>
            </w:pPr>
            <w:r>
              <w:t>GILMAR PAULUS</w:t>
            </w:r>
          </w:p>
        </w:tc>
      </w:tr>
      <w:tr w:rsidR="00B17259" w:rsidRPr="00734CDA" w:rsidTr="00123E3C">
        <w:trPr>
          <w:jc w:val="center"/>
        </w:trPr>
        <w:tc>
          <w:tcPr>
            <w:tcW w:w="2410" w:type="dxa"/>
          </w:tcPr>
          <w:p w:rsidR="00B17259" w:rsidRPr="00734CDA" w:rsidRDefault="00B17259" w:rsidP="00123E3C">
            <w:pPr>
              <w:jc w:val="center"/>
            </w:pPr>
            <w:r w:rsidRPr="00734CDA">
              <w:t>Contador</w:t>
            </w:r>
          </w:p>
        </w:tc>
      </w:tr>
      <w:tr w:rsidR="00B17259" w:rsidRPr="00734CDA" w:rsidTr="00123E3C">
        <w:trPr>
          <w:jc w:val="center"/>
        </w:trPr>
        <w:tc>
          <w:tcPr>
            <w:tcW w:w="2410" w:type="dxa"/>
          </w:tcPr>
          <w:p w:rsidR="00B17259" w:rsidRPr="00734CDA" w:rsidRDefault="00B17259" w:rsidP="00100792">
            <w:pPr>
              <w:jc w:val="center"/>
            </w:pPr>
            <w:r w:rsidRPr="00734CDA">
              <w:t>CRC/RS nº 0</w:t>
            </w:r>
            <w:r w:rsidR="00100792">
              <w:t>77452</w:t>
            </w:r>
            <w:r w:rsidRPr="00734CDA">
              <w:t>/O-</w:t>
            </w:r>
            <w:r w:rsidR="00100792">
              <w:t>5</w:t>
            </w:r>
          </w:p>
        </w:tc>
      </w:tr>
    </w:tbl>
    <w:p w:rsidR="00B17259" w:rsidRDefault="00B17259">
      <w:pPr>
        <w:rPr>
          <w:b/>
        </w:rPr>
      </w:pPr>
    </w:p>
    <w:sectPr w:rsidR="00B17259" w:rsidSect="00734CDA">
      <w:headerReference w:type="default" r:id="rId7"/>
      <w:footerReference w:type="default" r:id="rId8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9D" w:rsidRDefault="004C459D" w:rsidP="00734CDA">
      <w:pPr>
        <w:spacing w:after="0" w:line="240" w:lineRule="auto"/>
      </w:pPr>
      <w:r>
        <w:separator/>
      </w:r>
    </w:p>
  </w:endnote>
  <w:endnote w:type="continuationSeparator" w:id="0">
    <w:p w:rsidR="004C459D" w:rsidRDefault="004C459D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DA" w:rsidRDefault="00734CDA" w:rsidP="00734CDA">
    <w:pPr>
      <w:pStyle w:val="Rodap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9D" w:rsidRDefault="004C459D" w:rsidP="00734CDA">
      <w:pPr>
        <w:spacing w:after="0" w:line="240" w:lineRule="auto"/>
      </w:pPr>
      <w:r>
        <w:separator/>
      </w:r>
    </w:p>
  </w:footnote>
  <w:footnote w:type="continuationSeparator" w:id="0">
    <w:p w:rsidR="004C459D" w:rsidRDefault="004C459D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78" w:rsidRPr="00734CDA" w:rsidRDefault="00A43B0C" w:rsidP="00734CDA">
    <w:pPr>
      <w:pStyle w:val="Cabealho"/>
      <w:jc w:val="center"/>
      <w:rPr>
        <w:b/>
      </w:rPr>
    </w:pPr>
    <w:r>
      <w:rPr>
        <w:b/>
      </w:rPr>
      <w:t>MUNICÍPIO DE FARROUPILHA</w:t>
    </w:r>
    <w:r w:rsidR="00FC3278">
      <w:rPr>
        <w:b/>
      </w:rPr>
      <w:t>/RS</w:t>
    </w: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3"/>
      <w:gridCol w:w="3476"/>
      <w:gridCol w:w="2054"/>
    </w:tblGrid>
    <w:tr w:rsidR="00734CDA" w:rsidRPr="00734CDA" w:rsidTr="00734CDA">
      <w:trPr>
        <w:jc w:val="center"/>
      </w:trPr>
      <w:tc>
        <w:tcPr>
          <w:tcW w:w="2643" w:type="dxa"/>
        </w:tcPr>
        <w:p w:rsidR="00734CDA" w:rsidRPr="00734CDA" w:rsidRDefault="00734CDA" w:rsidP="00A43B0C">
          <w:pPr>
            <w:pStyle w:val="Cabealho"/>
            <w:rPr>
              <w:b/>
            </w:rPr>
          </w:pPr>
          <w:r w:rsidRPr="00734CDA">
            <w:rPr>
              <w:b/>
            </w:rPr>
            <w:t xml:space="preserve">CNPJ </w:t>
          </w:r>
          <w:r w:rsidR="00A43B0C">
            <w:rPr>
              <w:b/>
            </w:rPr>
            <w:t>89.848.949/0001-50</w:t>
          </w:r>
        </w:p>
      </w:tc>
      <w:tc>
        <w:tcPr>
          <w:tcW w:w="3476" w:type="dxa"/>
        </w:tcPr>
        <w:p w:rsidR="00734CDA" w:rsidRPr="00734CDA" w:rsidRDefault="007132D9" w:rsidP="00927442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DEMONSTRAÇÕES </w:t>
          </w:r>
          <w:r w:rsidR="00927442">
            <w:rPr>
              <w:b/>
            </w:rPr>
            <w:t>CONTÁBEIS</w:t>
          </w:r>
        </w:p>
      </w:tc>
      <w:tc>
        <w:tcPr>
          <w:tcW w:w="2054" w:type="dxa"/>
        </w:tcPr>
        <w:p w:rsidR="00734CDA" w:rsidRPr="00734CDA" w:rsidRDefault="00734CDA" w:rsidP="00A43B0C">
          <w:pPr>
            <w:pStyle w:val="Cabealho"/>
            <w:jc w:val="right"/>
            <w:rPr>
              <w:b/>
            </w:rPr>
          </w:pPr>
          <w:r w:rsidRPr="00734CDA">
            <w:rPr>
              <w:b/>
            </w:rPr>
            <w:t xml:space="preserve">EXERCÍCIO DE </w:t>
          </w:r>
          <w:r w:rsidR="00927442">
            <w:rPr>
              <w:b/>
            </w:rPr>
            <w:t>201</w:t>
          </w:r>
          <w:r w:rsidR="00A43B0C">
            <w:rPr>
              <w:b/>
            </w:rPr>
            <w:t>7</w:t>
          </w:r>
        </w:p>
      </w:tc>
    </w:tr>
  </w:tbl>
  <w:p w:rsidR="00734CDA" w:rsidRDefault="00734C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2EFD"/>
    <w:multiLevelType w:val="hybridMultilevel"/>
    <w:tmpl w:val="A53EA3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781"/>
    <w:multiLevelType w:val="hybridMultilevel"/>
    <w:tmpl w:val="E7C65C22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EE01C2"/>
    <w:multiLevelType w:val="hybridMultilevel"/>
    <w:tmpl w:val="4CBC562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8C1784"/>
    <w:multiLevelType w:val="hybridMultilevel"/>
    <w:tmpl w:val="A8648C9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373312"/>
    <w:multiLevelType w:val="hybridMultilevel"/>
    <w:tmpl w:val="E56AD38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DD4BC8"/>
    <w:multiLevelType w:val="hybridMultilevel"/>
    <w:tmpl w:val="08B0A47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173A0C"/>
    <w:multiLevelType w:val="hybridMultilevel"/>
    <w:tmpl w:val="4D72712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F95CFA"/>
    <w:multiLevelType w:val="hybridMultilevel"/>
    <w:tmpl w:val="5BD6A63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A"/>
    <w:rsid w:val="00027BAA"/>
    <w:rsid w:val="000642BF"/>
    <w:rsid w:val="00076C75"/>
    <w:rsid w:val="000A2712"/>
    <w:rsid w:val="000D1D9A"/>
    <w:rsid w:val="00100792"/>
    <w:rsid w:val="001064FC"/>
    <w:rsid w:val="00112EB3"/>
    <w:rsid w:val="00126774"/>
    <w:rsid w:val="001446E1"/>
    <w:rsid w:val="001544C7"/>
    <w:rsid w:val="001740A9"/>
    <w:rsid w:val="00187BD1"/>
    <w:rsid w:val="001A25A1"/>
    <w:rsid w:val="001A2E0E"/>
    <w:rsid w:val="001A5CE9"/>
    <w:rsid w:val="001D3888"/>
    <w:rsid w:val="001E038C"/>
    <w:rsid w:val="001E2AB6"/>
    <w:rsid w:val="00206FA9"/>
    <w:rsid w:val="00210DB7"/>
    <w:rsid w:val="0022437E"/>
    <w:rsid w:val="00230591"/>
    <w:rsid w:val="002507F9"/>
    <w:rsid w:val="002C0A11"/>
    <w:rsid w:val="002C5E7A"/>
    <w:rsid w:val="002D1D9E"/>
    <w:rsid w:val="002D323A"/>
    <w:rsid w:val="002F2273"/>
    <w:rsid w:val="003005C5"/>
    <w:rsid w:val="00306DBE"/>
    <w:rsid w:val="003419E8"/>
    <w:rsid w:val="00355A73"/>
    <w:rsid w:val="00371A97"/>
    <w:rsid w:val="00384F6E"/>
    <w:rsid w:val="00397019"/>
    <w:rsid w:val="003F5A12"/>
    <w:rsid w:val="0042685D"/>
    <w:rsid w:val="0044040F"/>
    <w:rsid w:val="004A1291"/>
    <w:rsid w:val="004A5BF4"/>
    <w:rsid w:val="004B5039"/>
    <w:rsid w:val="004C23B3"/>
    <w:rsid w:val="004C459D"/>
    <w:rsid w:val="004E5728"/>
    <w:rsid w:val="00510ACE"/>
    <w:rsid w:val="00573DBE"/>
    <w:rsid w:val="00576001"/>
    <w:rsid w:val="00583896"/>
    <w:rsid w:val="00586AB1"/>
    <w:rsid w:val="005F509C"/>
    <w:rsid w:val="006110FA"/>
    <w:rsid w:val="00612D15"/>
    <w:rsid w:val="00662677"/>
    <w:rsid w:val="00687CAF"/>
    <w:rsid w:val="007132D9"/>
    <w:rsid w:val="00714687"/>
    <w:rsid w:val="00734CDA"/>
    <w:rsid w:val="00785936"/>
    <w:rsid w:val="008034D8"/>
    <w:rsid w:val="00805CAF"/>
    <w:rsid w:val="00843345"/>
    <w:rsid w:val="008637EE"/>
    <w:rsid w:val="00896CCE"/>
    <w:rsid w:val="00897C98"/>
    <w:rsid w:val="008B3721"/>
    <w:rsid w:val="008C0E60"/>
    <w:rsid w:val="008E0439"/>
    <w:rsid w:val="009053A5"/>
    <w:rsid w:val="00920424"/>
    <w:rsid w:val="00927442"/>
    <w:rsid w:val="009350B7"/>
    <w:rsid w:val="00945D49"/>
    <w:rsid w:val="009536B9"/>
    <w:rsid w:val="00954CB7"/>
    <w:rsid w:val="009779AD"/>
    <w:rsid w:val="009800C2"/>
    <w:rsid w:val="009A0400"/>
    <w:rsid w:val="009F715C"/>
    <w:rsid w:val="00A43B0C"/>
    <w:rsid w:val="00A72B3E"/>
    <w:rsid w:val="00A73110"/>
    <w:rsid w:val="00A931A3"/>
    <w:rsid w:val="00AD28BD"/>
    <w:rsid w:val="00AE5D14"/>
    <w:rsid w:val="00B17259"/>
    <w:rsid w:val="00B364D8"/>
    <w:rsid w:val="00B43B9A"/>
    <w:rsid w:val="00B64164"/>
    <w:rsid w:val="00B647AA"/>
    <w:rsid w:val="00BB18E7"/>
    <w:rsid w:val="00BC0159"/>
    <w:rsid w:val="00BC272D"/>
    <w:rsid w:val="00BC7434"/>
    <w:rsid w:val="00BD106D"/>
    <w:rsid w:val="00C26C4B"/>
    <w:rsid w:val="00C832FC"/>
    <w:rsid w:val="00C934A3"/>
    <w:rsid w:val="00CD68A6"/>
    <w:rsid w:val="00CF3307"/>
    <w:rsid w:val="00DB63E1"/>
    <w:rsid w:val="00E02525"/>
    <w:rsid w:val="00E55E86"/>
    <w:rsid w:val="00ED036F"/>
    <w:rsid w:val="00EF1BB1"/>
    <w:rsid w:val="00EF23AB"/>
    <w:rsid w:val="00F75970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8D7EA-5D1F-4A77-A8E6-F0C5B9C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CDA"/>
  </w:style>
  <w:style w:type="paragraph" w:styleId="Rodap">
    <w:name w:val="footer"/>
    <w:basedOn w:val="Normal"/>
    <w:link w:val="RodapChar"/>
    <w:uiPriority w:val="99"/>
    <w:unhideWhenUsed/>
    <w:rsid w:val="0073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CDA"/>
  </w:style>
  <w:style w:type="paragraph" w:styleId="Textodebalo">
    <w:name w:val="Balloon Text"/>
    <w:basedOn w:val="Normal"/>
    <w:link w:val="TextodebaloChar"/>
    <w:uiPriority w:val="99"/>
    <w:semiHidden/>
    <w:unhideWhenUsed/>
    <w:rsid w:val="007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C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3970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9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2278</Words>
  <Characters>12304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Independência</Company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da Rosa</dc:creator>
  <cp:lastModifiedBy>Gilmar Paulus</cp:lastModifiedBy>
  <cp:revision>14</cp:revision>
  <cp:lastPrinted>2015-01-29T10:37:00Z</cp:lastPrinted>
  <dcterms:created xsi:type="dcterms:W3CDTF">2018-01-05T12:58:00Z</dcterms:created>
  <dcterms:modified xsi:type="dcterms:W3CDTF">2018-10-18T14:38:00Z</dcterms:modified>
</cp:coreProperties>
</file>